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E7A72E"/>
          <w:sz w:val="17"/>
        </w:rPr>
        <w:t>MUNICIPAL SUPPORT PACKET</w:t>
      </w:r>
    </w:p>
    <w:p>
      <w:pPr>
        <w:pStyle w:val="Title"/>
      </w:pPr>
      <w:r>
        <w:t>One Statewide Municipal Position</w:t>
      </w:r>
    </w:p>
    <w:p>
      <w:pPr>
        <w:pStyle w:val="Subtitle"/>
      </w:pPr>
      <w:r>
        <w:t>Less than a penny for the city. Not one penny more for taxpayers.</w:t>
      </w:r>
    </w:p>
    <w:tbl>
      <w:tblPr>
        <w:tblW w:type="auto" w:w="0"/>
        <w:jc w:val="center"/>
        <w:tblLook w:firstColumn="1" w:firstRow="1" w:lastColumn="0" w:lastRow="0" w:noHBand="0" w:noVBand="1" w:val="04A0"/>
      </w:tblPr>
      <w:tblGrid>
        <w:gridCol w:w="10224"/>
      </w:tblGrid>
      <w:tr>
        <w:trPr>
          <w:cantSplit/>
        </w:trPr>
        <w:tc>
          <w:tcPr>
            <w:tcW w:type="dxa" w:w="10224"/>
            <w:shd w:fill="FFF4D8"/>
            <w:tcBorders>
              <w:top w:val="single" w:sz="3" w:color="D7E0E7"/>
              <w:right w:val="single" w:sz="3" w:color="D7E0E7"/>
              <w:bottom w:val="single" w:sz="3" w:color="D7E0E7"/>
              <w:left w:val="single" w:sz="16" w:color="E7A72E"/>
            </w:tcBorders>
            <w:tcMar>
              <w:top w:w="120" w:type="dxa"/>
              <w:start w:w="145" w:type="dxa"/>
              <w:bottom w:w="120" w:type="dxa"/>
              <w:end w:w="145" w:type="dxa"/>
            </w:tcMar>
          </w:tcPr>
          <w:p>
            <w:pPr>
              <w:spacing w:after="80"/>
            </w:pPr>
            <w:r>
              <w:rPr>
                <w:b/>
                <w:color w:val="123B5D"/>
                <w:sz w:val="30"/>
              </w:rPr>
              <w:t>Less than a penny for the city. Not one penny more for taxpayers.</w:t>
            </w:r>
          </w:p>
          <w:p>
            <w:pPr>
              <w:spacing w:after="0"/>
            </w:pPr>
            <w:r>
              <w:rPr>
                <w:color w:val="203040"/>
                <w:sz w:val="23"/>
              </w:rPr>
              <w:t>The city share increases by 0.805 cents within the existing 7-cent sales-tax rate over six years. Taxpayers continue paying the same rate. Every municipality keeps its existing statutory percentage and receives each scheduled increase in that share on covered sales.</w:t>
            </w:r>
          </w:p>
        </w:tc>
      </w:tr>
    </w:tbl>
    <w:p>
      <w:pPr>
        <w:spacing w:after="0"/>
      </w:pPr>
    </w:p>
    <w:p>
      <w:pPr>
        <w:pStyle w:val="Heading1"/>
      </w:pPr>
      <w:r>
        <w:t>Why municipalities are uniting</w:t>
      </w:r>
    </w:p>
    <w:p>
      <w:r>
        <w:t>Mississippi cities and towns provide the local services that make community life and commerce possible. Mississippi law gives municipalities a smaller statutory share and fewer recurring local revenue tools than those available in selected neighboring communities. The Partnership supports one statewide update that preserves every municipality's existing statutory share and increases the city share within the same 7-cent taxpayer rate.</w:t>
      </w:r>
    </w:p>
    <w:p>
      <w:pPr>
        <w:pStyle w:val="Heading1"/>
      </w:pPr>
      <w:r>
        <w:t>The package</w:t>
      </w:r>
    </w:p>
    <w:tbl>
      <w:tblPr>
        <w:tblW w:type="auto" w:w="0"/>
        <w:jc w:val="center"/>
        <w:tblLayout w:type="fixed"/>
        <w:tblLook w:firstColumn="1" w:firstRow="1" w:lastColumn="0" w:lastRow="0" w:noHBand="0" w:noVBand="1" w:val="04A0"/>
      </w:tblPr>
      <w:tblGrid>
        <w:gridCol w:w="3408"/>
        <w:gridCol w:w="3408"/>
        <w:gridCol w:w="3408"/>
      </w:tblGrid>
      <w:tr>
        <w:trPr>
          <w:tblHeader w:val="true"/>
          <w:cantSplit/>
        </w:trPr>
        <w:tc>
          <w:tcPr>
            <w:tcW w:type="dxa" w:w="1656"/>
            <w:shd w:fill="123B5D"/>
            <w:tcMar>
              <w:top w:w="75" w:type="dxa"/>
              <w:start w:w="90" w:type="dxa"/>
              <w:bottom w:w="75" w:type="dxa"/>
              <w:end w:w="90" w:type="dxa"/>
            </w:tcMar>
            <w:tcBorders>
              <w:top w:val="single" w:sz="3" w:color="FFFFFF"/>
              <w:right w:val="single" w:sz="3" w:color="FFFFFF"/>
              <w:bottom w:val="single" w:sz="3" w:color="FFFFFF"/>
              <w:left w:val="single" w:sz="3" w:color="FFFFFF"/>
            </w:tcBorders>
          </w:tcPr>
          <w:p>
            <w:pPr>
              <w:spacing w:after="0"/>
            </w:pPr>
            <w:r>
              <w:rPr>
                <w:b/>
                <w:color w:val="FFFFFF"/>
                <w:sz w:val="17"/>
              </w:rPr>
              <w:t>Component</w:t>
            </w:r>
          </w:p>
        </w:tc>
        <w:tc>
          <w:tcPr>
            <w:tcW w:type="dxa" w:w="4392"/>
            <w:shd w:fill="123B5D"/>
            <w:tcMar>
              <w:top w:w="75" w:type="dxa"/>
              <w:start w:w="90" w:type="dxa"/>
              <w:bottom w:w="75" w:type="dxa"/>
              <w:end w:w="90" w:type="dxa"/>
            </w:tcMar>
            <w:tcBorders>
              <w:top w:val="single" w:sz="3" w:color="FFFFFF"/>
              <w:right w:val="single" w:sz="3" w:color="FFFFFF"/>
              <w:bottom w:val="single" w:sz="3" w:color="FFFFFF"/>
              <w:left w:val="single" w:sz="3" w:color="FFFFFF"/>
            </w:tcBorders>
          </w:tcPr>
          <w:p>
            <w:pPr>
              <w:spacing w:after="0"/>
            </w:pPr>
            <w:r>
              <w:rPr>
                <w:b/>
                <w:color w:val="FFFFFF"/>
                <w:sz w:val="17"/>
              </w:rPr>
              <w:t>Legislative action</w:t>
            </w:r>
          </w:p>
        </w:tc>
        <w:tc>
          <w:tcPr>
            <w:tcW w:type="dxa" w:w="3960"/>
            <w:shd w:fill="123B5D"/>
            <w:tcMar>
              <w:top w:w="75" w:type="dxa"/>
              <w:start w:w="90" w:type="dxa"/>
              <w:bottom w:w="75" w:type="dxa"/>
              <w:end w:w="90" w:type="dxa"/>
            </w:tcMar>
            <w:tcBorders>
              <w:top w:val="single" w:sz="3" w:color="FFFFFF"/>
              <w:right w:val="single" w:sz="3" w:color="FFFFFF"/>
              <w:bottom w:val="single" w:sz="3" w:color="FFFFFF"/>
              <w:left w:val="single" w:sz="3" w:color="FFFFFF"/>
            </w:tcBorders>
          </w:tcPr>
          <w:p>
            <w:pPr>
              <w:spacing w:after="0"/>
            </w:pPr>
            <w:r>
              <w:rPr>
                <w:b/>
                <w:color w:val="FFFFFF"/>
                <w:sz w:val="17"/>
              </w:rPr>
              <w:t>Statewide benefit</w:t>
            </w:r>
          </w:p>
        </w:tc>
      </w:tr>
      <w:tr>
        <w:trPr>
          <w:cantSplit/>
        </w:trPr>
        <w:tc>
          <w:tcPr>
            <w:tcW w:type="dxa" w:w="1656"/>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b/>
                <w:color w:val="123B5D"/>
                <w:sz w:val="17"/>
              </w:rPr>
              <w:t>Step Zero</w:t>
            </w:r>
          </w:p>
        </w:tc>
        <w:tc>
          <w:tcPr>
            <w:tcW w:type="dxa" w:w="4392"/>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Verify addresses, municipal location coding, sale assignments, corrections, reconciliations, and monthly statements</w:t>
            </w:r>
          </w:p>
        </w:tc>
        <w:tc>
          <w:tcPr>
            <w:tcW w:type="dxa" w:w="3960"/>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Every municipality can verify what current law assigns to it</w:t>
            </w:r>
          </w:p>
        </w:tc>
      </w:tr>
      <w:tr>
        <w:trPr>
          <w:cantSplit/>
        </w:trPr>
        <w:tc>
          <w:tcPr>
            <w:tcW w:type="dxa" w:w="1656"/>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b/>
                <w:color w:val="123B5D"/>
                <w:sz w:val="17"/>
              </w:rPr>
              <w:t>Six-year schedule</w:t>
            </w:r>
          </w:p>
        </w:tc>
        <w:tc>
          <w:tcPr>
            <w:tcW w:type="dxa" w:w="4392"/>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Increase the municipal share from 18.5% to 30% of the existing 7-cent rate, equal to 2.100 cents for the city; pair groceries at 42% of the existing 5-cent grocery rate</w:t>
            </w:r>
          </w:p>
        </w:tc>
        <w:tc>
          <w:tcPr>
            <w:tcW w:type="dxa" w:w="3960"/>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Every municipality keeps its existing statutory percentage and receives each scheduled increase in that share on covered sales</w:t>
            </w:r>
          </w:p>
        </w:tc>
      </w:tr>
      <w:tr>
        <w:trPr>
          <w:cantSplit/>
        </w:trPr>
        <w:tc>
          <w:tcPr>
            <w:tcW w:type="dxa" w:w="1656"/>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b/>
                <w:color w:val="123B5D"/>
                <w:sz w:val="17"/>
              </w:rPr>
              <w:t>MIMA flexibility</w:t>
            </w:r>
          </w:p>
        </w:tc>
        <w:tc>
          <w:tcPr>
            <w:tcW w:type="dxa" w:w="4392"/>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Expand lawful public-safety, infrastructure, technology, vehicle, equipment, and limited non-personnel maintenance and operating costs for eligible assets</w:t>
            </w:r>
          </w:p>
        </w:tc>
        <w:tc>
          <w:tcPr>
            <w:tcW w:type="dxa" w:w="3960"/>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Every municipality can use more of the MIMA money it already receives for services and assets</w:t>
            </w:r>
          </w:p>
        </w:tc>
      </w:tr>
      <w:tr>
        <w:trPr>
          <w:cantSplit/>
        </w:trPr>
        <w:tc>
          <w:tcPr>
            <w:tcW w:type="dxa" w:w="1656"/>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b/>
                <w:color w:val="123B5D"/>
                <w:sz w:val="17"/>
              </w:rPr>
              <w:t>Built-in fiscal safeguard</w:t>
            </w:r>
          </w:p>
        </w:tc>
        <w:tc>
          <w:tcPr>
            <w:tcW w:type="dxa" w:w="4392"/>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Pause the next uncompleted step after a decline in adjusted General Fund collections</w:t>
            </w:r>
          </w:p>
        </w:tc>
        <w:tc>
          <w:tcPr>
            <w:tcW w:type="dxa" w:w="3960"/>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Completed steps remain while the next increase waits for renewed growth</w:t>
            </w:r>
          </w:p>
        </w:tc>
      </w:tr>
    </w:tbl>
    <w:p>
      <w:pPr>
        <w:spacing w:after="0"/>
      </w:pPr>
    </w:p>
    <w:p>
      <w:pPr>
        <w:pStyle w:val="Heading1"/>
      </w:pPr>
      <w:r>
        <w:t>The six-year schedule</w:t>
      </w:r>
    </w:p>
    <w:tbl>
      <w:tblPr>
        <w:tblW w:type="auto" w:w="0"/>
        <w:jc w:val="center"/>
        <w:tblLayout w:type="fixed"/>
        <w:tblLook w:firstColumn="1" w:firstRow="1" w:lastColumn="0" w:lastRow="0" w:noHBand="0" w:noVBand="1" w:val="04A0"/>
      </w:tblPr>
      <w:tblGrid>
        <w:gridCol w:w="2045"/>
        <w:gridCol w:w="2045"/>
        <w:gridCol w:w="2045"/>
        <w:gridCol w:w="2045"/>
        <w:gridCol w:w="2045"/>
      </w:tblGrid>
      <w:tr>
        <w:trPr>
          <w:tblHeader w:val="true"/>
          <w:cantSplit/>
        </w:trPr>
        <w:tc>
          <w:tcPr>
            <w:tcW w:type="dxa" w:w="1152"/>
            <w:shd w:fill="123B5D"/>
            <w:tcMar>
              <w:top w:w="75" w:type="dxa"/>
              <w:start w:w="90" w:type="dxa"/>
              <w:bottom w:w="75" w:type="dxa"/>
              <w:end w:w="90" w:type="dxa"/>
            </w:tcMar>
            <w:tcBorders>
              <w:top w:val="single" w:sz="3" w:color="FFFFFF"/>
              <w:right w:val="single" w:sz="3" w:color="FFFFFF"/>
              <w:bottom w:val="single" w:sz="3" w:color="FFFFFF"/>
              <w:left w:val="single" w:sz="3" w:color="FFFFFF"/>
            </w:tcBorders>
          </w:tcPr>
          <w:p>
            <w:pPr>
              <w:spacing w:after="0"/>
            </w:pPr>
            <w:r>
              <w:rPr>
                <w:b/>
                <w:color w:val="FFFFFF"/>
                <w:sz w:val="17"/>
              </w:rPr>
              <w:t>Stage</w:t>
            </w:r>
          </w:p>
        </w:tc>
        <w:tc>
          <w:tcPr>
            <w:tcW w:type="dxa" w:w="1872"/>
            <w:shd w:fill="123B5D"/>
            <w:tcMar>
              <w:top w:w="75" w:type="dxa"/>
              <w:start w:w="90" w:type="dxa"/>
              <w:bottom w:w="75" w:type="dxa"/>
              <w:end w:w="90" w:type="dxa"/>
            </w:tcMar>
            <w:tcBorders>
              <w:top w:val="single" w:sz="3" w:color="FFFFFF"/>
              <w:right w:val="single" w:sz="3" w:color="FFFFFF"/>
              <w:bottom w:val="single" w:sz="3" w:color="FFFFFF"/>
              <w:left w:val="single" w:sz="3" w:color="FFFFFF"/>
            </w:tcBorders>
          </w:tcPr>
          <w:p>
            <w:pPr>
              <w:spacing w:after="0"/>
            </w:pPr>
            <w:r>
              <w:rPr>
                <w:b/>
                <w:color w:val="FFFFFF"/>
                <w:sz w:val="17"/>
              </w:rPr>
              <w:t>Regular city share</w:t>
            </w:r>
          </w:p>
        </w:tc>
        <w:tc>
          <w:tcPr>
            <w:tcW w:type="dxa" w:w="2160"/>
            <w:shd w:fill="123B5D"/>
            <w:tcMar>
              <w:top w:w="75" w:type="dxa"/>
              <w:start w:w="90" w:type="dxa"/>
              <w:bottom w:w="75" w:type="dxa"/>
              <w:end w:w="90" w:type="dxa"/>
            </w:tcMar>
            <w:tcBorders>
              <w:top w:val="single" w:sz="3" w:color="FFFFFF"/>
              <w:right w:val="single" w:sz="3" w:color="FFFFFF"/>
              <w:bottom w:val="single" w:sz="3" w:color="FFFFFF"/>
              <w:left w:val="single" w:sz="3" w:color="FFFFFF"/>
            </w:tcBorders>
          </w:tcPr>
          <w:p>
            <w:pPr>
              <w:spacing w:after="0"/>
            </w:pPr>
            <w:r>
              <w:rPr>
                <w:b/>
                <w:color w:val="FFFFFF"/>
                <w:sz w:val="17"/>
              </w:rPr>
              <w:t>City amount within existing rate</w:t>
            </w:r>
          </w:p>
        </w:tc>
        <w:tc>
          <w:tcPr>
            <w:tcW w:type="dxa" w:w="2088"/>
            <w:shd w:fill="123B5D"/>
            <w:tcMar>
              <w:top w:w="75" w:type="dxa"/>
              <w:start w:w="90" w:type="dxa"/>
              <w:bottom w:w="75" w:type="dxa"/>
              <w:end w:w="90" w:type="dxa"/>
            </w:tcMar>
            <w:tcBorders>
              <w:top w:val="single" w:sz="3" w:color="FFFFFF"/>
              <w:right w:val="single" w:sz="3" w:color="FFFFFF"/>
              <w:bottom w:val="single" w:sz="3" w:color="FFFFFF"/>
              <w:left w:val="single" w:sz="3" w:color="FFFFFF"/>
            </w:tcBorders>
          </w:tcPr>
          <w:p>
            <w:pPr>
              <w:spacing w:after="0"/>
            </w:pPr>
            <w:r>
              <w:rPr>
                <w:b/>
                <w:color w:val="FFFFFF"/>
                <w:sz w:val="17"/>
              </w:rPr>
              <w:t>Grocery city share</w:t>
            </w:r>
          </w:p>
        </w:tc>
        <w:tc>
          <w:tcPr>
            <w:tcW w:type="dxa" w:w="2664"/>
            <w:shd w:fill="123B5D"/>
            <w:tcMar>
              <w:top w:w="75" w:type="dxa"/>
              <w:start w:w="90" w:type="dxa"/>
              <w:bottom w:w="75" w:type="dxa"/>
              <w:end w:w="90" w:type="dxa"/>
            </w:tcMar>
            <w:tcBorders>
              <w:top w:val="single" w:sz="3" w:color="FFFFFF"/>
              <w:right w:val="single" w:sz="3" w:color="FFFFFF"/>
              <w:bottom w:val="single" w:sz="3" w:color="FFFFFF"/>
              <w:left w:val="single" w:sz="3" w:color="FFFFFF"/>
            </w:tcBorders>
          </w:tcPr>
          <w:p>
            <w:pPr>
              <w:spacing w:after="0"/>
            </w:pPr>
            <w:r>
              <w:rPr>
                <w:b/>
                <w:color w:val="FFFFFF"/>
                <w:sz w:val="17"/>
              </w:rPr>
              <w:t>Remainder from 7 cents</w:t>
            </w:r>
          </w:p>
        </w:tc>
      </w:tr>
      <w:tr>
        <w:trPr>
          <w:cantSplit/>
        </w:trPr>
        <w:tc>
          <w:tcPr>
            <w:tcW w:type="dxa" w:w="1152"/>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b/>
                <w:color w:val="123B5D"/>
                <w:sz w:val="17"/>
              </w:rPr>
              <w:t>Current</w:t>
            </w:r>
          </w:p>
        </w:tc>
        <w:tc>
          <w:tcPr>
            <w:tcW w:type="dxa" w:w="1872"/>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18.5%</w:t>
            </w:r>
          </w:p>
        </w:tc>
        <w:tc>
          <w:tcPr>
            <w:tcW w:type="dxa" w:w="2160"/>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1.295 cents</w:t>
            </w:r>
          </w:p>
        </w:tc>
        <w:tc>
          <w:tcPr>
            <w:tcW w:type="dxa" w:w="2088"/>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25.9%</w:t>
            </w:r>
          </w:p>
        </w:tc>
        <w:tc>
          <w:tcPr>
            <w:tcW w:type="dxa" w:w="2664"/>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5.705 cents</w:t>
            </w:r>
          </w:p>
        </w:tc>
      </w:tr>
      <w:tr>
        <w:trPr>
          <w:cantSplit/>
        </w:trPr>
        <w:tc>
          <w:tcPr>
            <w:tcW w:type="dxa" w:w="1152"/>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b/>
                <w:color w:val="123B5D"/>
                <w:sz w:val="17"/>
              </w:rPr>
              <w:t>Year 1</w:t>
            </w:r>
          </w:p>
        </w:tc>
        <w:tc>
          <w:tcPr>
            <w:tcW w:type="dxa" w:w="1872"/>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20.5%</w:t>
            </w:r>
          </w:p>
        </w:tc>
        <w:tc>
          <w:tcPr>
            <w:tcW w:type="dxa" w:w="2160"/>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1.435 cents</w:t>
            </w:r>
          </w:p>
        </w:tc>
        <w:tc>
          <w:tcPr>
            <w:tcW w:type="dxa" w:w="2088"/>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28.7%</w:t>
            </w:r>
          </w:p>
        </w:tc>
        <w:tc>
          <w:tcPr>
            <w:tcW w:type="dxa" w:w="2664"/>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5.565 cents</w:t>
            </w:r>
          </w:p>
        </w:tc>
      </w:tr>
      <w:tr>
        <w:trPr>
          <w:cantSplit/>
        </w:trPr>
        <w:tc>
          <w:tcPr>
            <w:tcW w:type="dxa" w:w="1152"/>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b/>
                <w:color w:val="123B5D"/>
                <w:sz w:val="17"/>
              </w:rPr>
              <w:t>Year 2</w:t>
            </w:r>
          </w:p>
        </w:tc>
        <w:tc>
          <w:tcPr>
            <w:tcW w:type="dxa" w:w="1872"/>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22.5%</w:t>
            </w:r>
          </w:p>
        </w:tc>
        <w:tc>
          <w:tcPr>
            <w:tcW w:type="dxa" w:w="2160"/>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1.575 cents</w:t>
            </w:r>
          </w:p>
        </w:tc>
        <w:tc>
          <w:tcPr>
            <w:tcW w:type="dxa" w:w="2088"/>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31.5%</w:t>
            </w:r>
          </w:p>
        </w:tc>
        <w:tc>
          <w:tcPr>
            <w:tcW w:type="dxa" w:w="2664"/>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5.425 cents</w:t>
            </w:r>
          </w:p>
        </w:tc>
      </w:tr>
      <w:tr>
        <w:trPr>
          <w:cantSplit/>
        </w:trPr>
        <w:tc>
          <w:tcPr>
            <w:tcW w:type="dxa" w:w="1152"/>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b/>
                <w:color w:val="123B5D"/>
                <w:sz w:val="17"/>
              </w:rPr>
              <w:t>Year 3</w:t>
            </w:r>
          </w:p>
        </w:tc>
        <w:tc>
          <w:tcPr>
            <w:tcW w:type="dxa" w:w="1872"/>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24.5%</w:t>
            </w:r>
          </w:p>
        </w:tc>
        <w:tc>
          <w:tcPr>
            <w:tcW w:type="dxa" w:w="2160"/>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1.715 cents</w:t>
            </w:r>
          </w:p>
        </w:tc>
        <w:tc>
          <w:tcPr>
            <w:tcW w:type="dxa" w:w="2088"/>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34.3%</w:t>
            </w:r>
          </w:p>
        </w:tc>
        <w:tc>
          <w:tcPr>
            <w:tcW w:type="dxa" w:w="2664"/>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5.285 cents</w:t>
            </w:r>
          </w:p>
        </w:tc>
      </w:tr>
      <w:tr>
        <w:trPr>
          <w:cantSplit/>
        </w:trPr>
        <w:tc>
          <w:tcPr>
            <w:tcW w:type="dxa" w:w="1152"/>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b/>
                <w:color w:val="123B5D"/>
                <w:sz w:val="17"/>
              </w:rPr>
              <w:t>Year 4</w:t>
            </w:r>
          </w:p>
        </w:tc>
        <w:tc>
          <w:tcPr>
            <w:tcW w:type="dxa" w:w="1872"/>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26.5%</w:t>
            </w:r>
          </w:p>
        </w:tc>
        <w:tc>
          <w:tcPr>
            <w:tcW w:type="dxa" w:w="2160"/>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1.855 cents</w:t>
            </w:r>
          </w:p>
        </w:tc>
        <w:tc>
          <w:tcPr>
            <w:tcW w:type="dxa" w:w="2088"/>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37.1%</w:t>
            </w:r>
          </w:p>
        </w:tc>
        <w:tc>
          <w:tcPr>
            <w:tcW w:type="dxa" w:w="2664"/>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5.145 cents</w:t>
            </w:r>
          </w:p>
        </w:tc>
      </w:tr>
      <w:tr>
        <w:trPr>
          <w:cantSplit/>
        </w:trPr>
        <w:tc>
          <w:tcPr>
            <w:tcW w:type="dxa" w:w="1152"/>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b/>
                <w:color w:val="123B5D"/>
                <w:sz w:val="17"/>
              </w:rPr>
              <w:t>Year 5</w:t>
            </w:r>
          </w:p>
        </w:tc>
        <w:tc>
          <w:tcPr>
            <w:tcW w:type="dxa" w:w="1872"/>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28.5%</w:t>
            </w:r>
          </w:p>
        </w:tc>
        <w:tc>
          <w:tcPr>
            <w:tcW w:type="dxa" w:w="2160"/>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1.995 cents</w:t>
            </w:r>
          </w:p>
        </w:tc>
        <w:tc>
          <w:tcPr>
            <w:tcW w:type="dxa" w:w="2088"/>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39.9%</w:t>
            </w:r>
          </w:p>
        </w:tc>
        <w:tc>
          <w:tcPr>
            <w:tcW w:type="dxa" w:w="2664"/>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5.005 cents</w:t>
            </w:r>
          </w:p>
        </w:tc>
      </w:tr>
      <w:tr>
        <w:trPr>
          <w:cantSplit/>
        </w:trPr>
        <w:tc>
          <w:tcPr>
            <w:tcW w:type="dxa" w:w="1152"/>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b/>
                <w:color w:val="123B5D"/>
                <w:sz w:val="17"/>
              </w:rPr>
              <w:t>Year 6</w:t>
            </w:r>
          </w:p>
        </w:tc>
        <w:tc>
          <w:tcPr>
            <w:tcW w:type="dxa" w:w="1872"/>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30.0%</w:t>
            </w:r>
          </w:p>
        </w:tc>
        <w:tc>
          <w:tcPr>
            <w:tcW w:type="dxa" w:w="2160"/>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2.100 cents</w:t>
            </w:r>
          </w:p>
        </w:tc>
        <w:tc>
          <w:tcPr>
            <w:tcW w:type="dxa" w:w="2088"/>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42.0%</w:t>
            </w:r>
          </w:p>
        </w:tc>
        <w:tc>
          <w:tcPr>
            <w:tcW w:type="dxa" w:w="2664"/>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4.900 cents</w:t>
            </w:r>
          </w:p>
        </w:tc>
      </w:tr>
    </w:tbl>
    <w:p>
      <w:pPr>
        <w:spacing w:after="0"/>
      </w:pPr>
    </w:p>
    <w:p>
      <w:pPr>
        <w:spacing w:after="120"/>
      </w:pPr>
      <w:r>
        <w:rPr>
          <w:i/>
          <w:color w:val="526574"/>
          <w:sz w:val="18"/>
        </w:rPr>
        <w:t>The final column is the remainder for the State and other statutory allocations. The grocery percentage produces the same 2.100-cent city amount at the 5 percent grocery rate.</w:t>
      </w:r>
    </w:p>
    <w:p>
      <w:pPr>
        <w:pStyle w:val="Heading1"/>
      </w:pPr>
      <w:r>
        <w:t>The local-rate comparison</w:t>
      </w:r>
    </w:p>
    <w:tbl>
      <w:tblPr>
        <w:tblW w:type="auto" w:w="0"/>
        <w:jc w:val="center"/>
        <w:tblLayout w:type="fixed"/>
        <w:tblLook w:firstColumn="1" w:firstRow="1" w:lastColumn="0" w:lastRow="0" w:noHBand="0" w:noVBand="1" w:val="04A0"/>
      </w:tblPr>
      <w:tblGrid>
        <w:gridCol w:w="2556"/>
        <w:gridCol w:w="2556"/>
        <w:gridCol w:w="2556"/>
        <w:gridCol w:w="2556"/>
      </w:tblGrid>
      <w:tr>
        <w:trPr>
          <w:tblHeader w:val="true"/>
          <w:cantSplit/>
        </w:trPr>
        <w:tc>
          <w:tcPr>
            <w:tcW w:type="dxa" w:w="2664"/>
            <w:shd w:fill="123B5D"/>
            <w:tcMar>
              <w:top w:w="75" w:type="dxa"/>
              <w:start w:w="90" w:type="dxa"/>
              <w:bottom w:w="75" w:type="dxa"/>
              <w:end w:w="90" w:type="dxa"/>
            </w:tcMar>
            <w:tcBorders>
              <w:top w:val="single" w:sz="3" w:color="FFFFFF"/>
              <w:right w:val="single" w:sz="3" w:color="FFFFFF"/>
              <w:bottom w:val="single" w:sz="3" w:color="FFFFFF"/>
              <w:left w:val="single" w:sz="3" w:color="FFFFFF"/>
            </w:tcBorders>
          </w:tcPr>
          <w:p>
            <w:pPr>
              <w:spacing w:after="0"/>
            </w:pPr>
            <w:r>
              <w:rPr>
                <w:b/>
                <w:color w:val="FFFFFF"/>
                <w:sz w:val="18"/>
              </w:rPr>
              <w:t>Location</w:t>
            </w:r>
          </w:p>
        </w:tc>
        <w:tc>
          <w:tcPr>
            <w:tcW w:type="dxa" w:w="3240"/>
            <w:shd w:fill="123B5D"/>
            <w:tcMar>
              <w:top w:w="75" w:type="dxa"/>
              <w:start w:w="90" w:type="dxa"/>
              <w:bottom w:w="75" w:type="dxa"/>
              <w:end w:w="90" w:type="dxa"/>
            </w:tcMar>
            <w:tcBorders>
              <w:top w:val="single" w:sz="3" w:color="FFFFFF"/>
              <w:right w:val="single" w:sz="3" w:color="FFFFFF"/>
              <w:bottom w:val="single" w:sz="3" w:color="FFFFFF"/>
              <w:left w:val="single" w:sz="3" w:color="FFFFFF"/>
            </w:tcBorders>
          </w:tcPr>
          <w:p>
            <w:pPr>
              <w:spacing w:after="0"/>
            </w:pPr>
            <w:r>
              <w:rPr>
                <w:b/>
                <w:color w:val="FFFFFF"/>
                <w:sz w:val="18"/>
              </w:rPr>
              <w:t>Figure used for comparison</w:t>
            </w:r>
          </w:p>
        </w:tc>
        <w:tc>
          <w:tcPr>
            <w:tcW w:type="dxa" w:w="1728"/>
            <w:shd w:fill="123B5D"/>
            <w:tcMar>
              <w:top w:w="75" w:type="dxa"/>
              <w:start w:w="90" w:type="dxa"/>
              <w:bottom w:w="75" w:type="dxa"/>
              <w:end w:w="90" w:type="dxa"/>
            </w:tcMar>
            <w:tcBorders>
              <w:top w:val="single" w:sz="3" w:color="FFFFFF"/>
              <w:right w:val="single" w:sz="3" w:color="FFFFFF"/>
              <w:bottom w:val="single" w:sz="3" w:color="FFFFFF"/>
              <w:left w:val="single" w:sz="3" w:color="FFFFFF"/>
            </w:tcBorders>
          </w:tcPr>
          <w:p>
            <w:pPr>
              <w:spacing w:after="0"/>
            </w:pPr>
            <w:r>
              <w:rPr>
                <w:b/>
                <w:color w:val="FFFFFF"/>
                <w:sz w:val="18"/>
              </w:rPr>
              <w:t>Cents per $1</w:t>
            </w:r>
          </w:p>
        </w:tc>
        <w:tc>
          <w:tcPr>
            <w:tcW w:type="dxa" w:w="2448"/>
            <w:shd w:fill="123B5D"/>
            <w:tcMar>
              <w:top w:w="75" w:type="dxa"/>
              <w:start w:w="90" w:type="dxa"/>
              <w:bottom w:w="75" w:type="dxa"/>
              <w:end w:w="90" w:type="dxa"/>
            </w:tcMar>
            <w:tcBorders>
              <w:top w:val="single" w:sz="3" w:color="FFFFFF"/>
              <w:right w:val="single" w:sz="3" w:color="FFFFFF"/>
              <w:bottom w:val="single" w:sz="3" w:color="FFFFFF"/>
              <w:left w:val="single" w:sz="3" w:color="FFFFFF"/>
            </w:tcBorders>
          </w:tcPr>
          <w:p>
            <w:pPr>
              <w:spacing w:after="0"/>
            </w:pPr>
            <w:r>
              <w:rPr>
                <w:b/>
                <w:color w:val="FFFFFF"/>
                <w:sz w:val="18"/>
              </w:rPr>
              <w:t>Tax generated on $10M</w:t>
            </w:r>
          </w:p>
        </w:tc>
      </w:tr>
      <w:tr>
        <w:trPr>
          <w:cantSplit/>
        </w:trPr>
        <w:tc>
          <w:tcPr>
            <w:tcW w:type="dxa" w:w="2664"/>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b/>
                <w:color w:val="123B5D"/>
                <w:sz w:val="18"/>
              </w:rPr>
              <w:t>Gulfport, Mississippi</w:t>
            </w:r>
          </w:p>
        </w:tc>
        <w:tc>
          <w:tcPr>
            <w:tcW w:type="dxa" w:w="3240"/>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8"/>
              </w:rPr>
              <w:t>Municipal share of State's 7-cent tax</w:t>
            </w:r>
          </w:p>
        </w:tc>
        <w:tc>
          <w:tcPr>
            <w:tcW w:type="dxa" w:w="1728"/>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8"/>
              </w:rPr>
              <w:t>1.295 cents</w:t>
            </w:r>
          </w:p>
        </w:tc>
        <w:tc>
          <w:tcPr>
            <w:tcW w:type="dxa" w:w="2448"/>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8"/>
              </w:rPr>
              <w:t>$129,500</w:t>
            </w:r>
          </w:p>
        </w:tc>
      </w:tr>
      <w:tr>
        <w:trPr>
          <w:cantSplit/>
        </w:trPr>
        <w:tc>
          <w:tcPr>
            <w:tcW w:type="dxa" w:w="2664"/>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b/>
                <w:color w:val="123B5D"/>
                <w:sz w:val="18"/>
              </w:rPr>
              <w:t>Slidell, Louisiana</w:t>
            </w:r>
          </w:p>
        </w:tc>
        <w:tc>
          <w:tcPr>
            <w:tcW w:type="dxa" w:w="3240"/>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8"/>
              </w:rPr>
              <w:t>Published local rate</w:t>
            </w:r>
          </w:p>
        </w:tc>
        <w:tc>
          <w:tcPr>
            <w:tcW w:type="dxa" w:w="1728"/>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8"/>
              </w:rPr>
              <w:t>2.380 cents</w:t>
            </w:r>
          </w:p>
        </w:tc>
        <w:tc>
          <w:tcPr>
            <w:tcW w:type="dxa" w:w="2448"/>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8"/>
              </w:rPr>
              <w:t>$238,000</w:t>
            </w:r>
          </w:p>
        </w:tc>
      </w:tr>
      <w:tr>
        <w:trPr>
          <w:cantSplit/>
        </w:trPr>
        <w:tc>
          <w:tcPr>
            <w:tcW w:type="dxa" w:w="2664"/>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b/>
                <w:color w:val="123B5D"/>
                <w:sz w:val="18"/>
              </w:rPr>
              <w:t>Gulf Shores, Alabama</w:t>
            </w:r>
          </w:p>
        </w:tc>
        <w:tc>
          <w:tcPr>
            <w:tcW w:type="dxa" w:w="3240"/>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8"/>
              </w:rPr>
              <w:t>Published local rate</w:t>
            </w:r>
          </w:p>
        </w:tc>
        <w:tc>
          <w:tcPr>
            <w:tcW w:type="dxa" w:w="1728"/>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8"/>
              </w:rPr>
              <w:t>3.000 cents</w:t>
            </w:r>
          </w:p>
        </w:tc>
        <w:tc>
          <w:tcPr>
            <w:tcW w:type="dxa" w:w="2448"/>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8"/>
              </w:rPr>
              <w:t>$300,000</w:t>
            </w:r>
          </w:p>
        </w:tc>
      </w:tr>
      <w:tr>
        <w:trPr>
          <w:cantSplit/>
        </w:trPr>
        <w:tc>
          <w:tcPr>
            <w:tcW w:type="dxa" w:w="2664"/>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b/>
                <w:color w:val="123B5D"/>
                <w:sz w:val="18"/>
              </w:rPr>
              <w:t>Mobile, Alabama</w:t>
            </w:r>
          </w:p>
        </w:tc>
        <w:tc>
          <w:tcPr>
            <w:tcW w:type="dxa" w:w="3240"/>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8"/>
              </w:rPr>
              <w:t>Published local rate</w:t>
            </w:r>
          </w:p>
        </w:tc>
        <w:tc>
          <w:tcPr>
            <w:tcW w:type="dxa" w:w="1728"/>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8"/>
              </w:rPr>
              <w:t>5.000 cents</w:t>
            </w:r>
          </w:p>
        </w:tc>
        <w:tc>
          <w:tcPr>
            <w:tcW w:type="dxa" w:w="2448"/>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8"/>
              </w:rPr>
              <w:t>$500,000</w:t>
            </w:r>
          </w:p>
        </w:tc>
      </w:tr>
    </w:tbl>
    <w:p>
      <w:pPr>
        <w:spacing w:after="0"/>
      </w:pPr>
    </w:p>
    <w:p>
      <w:pPr>
        <w:spacing w:after="120"/>
      </w:pPr>
      <w:r>
        <w:rPr>
          <w:i/>
          <w:color w:val="526574"/>
          <w:sz w:val="18"/>
        </w:rPr>
        <w:t>Gulfport is a statutory municipal distribution; the neighboring figures are published local rates within city limits. The $10 million calculation illustrates tax generated, not actual collections. Taxable bases, exemptions, collection rules, deductions, and sales mix vary.</w:t>
      </w:r>
    </w:p>
    <w:p>
      <w:pPr>
        <w:pStyle w:val="Heading1"/>
      </w:pPr>
      <w:r>
        <w:t>MIMA flexibility for every municipality</w:t>
      </w:r>
    </w:p>
    <w:p>
      <w:r>
        <w:t>MIMA's existing distribution formula remains in place. The proposal expands specified lawful uses for every municipality.</w:t>
      </w:r>
    </w:p>
    <w:p>
      <w:pPr>
        <w:pStyle w:val="ListBullet"/>
      </w:pPr>
      <w:r>
        <w:t>Every municipality keeps its existing MIMA distribution under the current formula.</w:t>
      </w:r>
    </w:p>
    <w:p>
      <w:pPr>
        <w:pStyle w:val="ListBullet"/>
      </w:pPr>
      <w:r>
        <w:t>Specified uses expand for public safety, infrastructure, vehicles, equipment, communications, cybersecurity, and eligible non-personnel asset costs.</w:t>
      </w:r>
    </w:p>
    <w:p>
      <w:pPr>
        <w:pStyle w:val="ListBullet"/>
      </w:pPr>
      <w:r>
        <w:t>Salaries, wages, payroll costs, employee benefits, and unrelated administration remain ineligible.</w:t>
      </w:r>
    </w:p>
    <w:tbl>
      <w:tblPr>
        <w:tblW w:type="auto" w:w="0"/>
        <w:jc w:val="center"/>
        <w:tblLook w:firstColumn="1" w:firstRow="1" w:lastColumn="0" w:lastRow="0" w:noHBand="0" w:noVBand="1" w:val="04A0"/>
      </w:tblPr>
      <w:tblGrid>
        <w:gridCol w:w="10224"/>
      </w:tblGrid>
      <w:tr>
        <w:trPr>
          <w:cantSplit/>
        </w:trPr>
        <w:tc>
          <w:tcPr>
            <w:tcW w:type="dxa" w:w="10224"/>
            <w:shd w:fill="EAF3F9"/>
            <w:tcBorders>
              <w:top w:val="single" w:sz="3" w:color="D7E0E7"/>
              <w:right w:val="single" w:sz="3" w:color="D7E0E7"/>
              <w:bottom w:val="single" w:sz="3" w:color="D7E0E7"/>
              <w:left w:val="single" w:sz="16" w:color="1769AA"/>
            </w:tcBorders>
            <w:tcMar>
              <w:top w:w="70" w:type="dxa"/>
              <w:start w:w="120" w:type="dxa"/>
              <w:bottom w:w="70" w:type="dxa"/>
              <w:end w:w="120" w:type="dxa"/>
            </w:tcMar>
          </w:tcPr>
          <w:p>
            <w:pPr>
              <w:spacing w:after="0"/>
            </w:pPr>
            <w:r>
              <w:rPr>
                <w:b/>
                <w:color w:val="123B5D"/>
                <w:sz w:val="20"/>
              </w:rPr>
              <w:t xml:space="preserve">Municipal endorsement: </w:t>
            </w:r>
            <w:r>
              <w:rPr>
                <w:color w:val="203040"/>
                <w:sz w:val="20"/>
              </w:rPr>
              <w:t>Adopt the model resolution and send a certified copy to the Partnership. After verification, the municipality and resolution may be displayed at msrevenuepartnership.org. Participation is voluntary and no dues are charged.</w:t>
            </w:r>
          </w:p>
        </w:tc>
      </w:tr>
    </w:tbl>
    <w:p>
      <w:r>
        <w:br w:type="page"/>
      </w:r>
    </w:p>
    <w:p>
      <w:pPr>
        <w:spacing w:after="40"/>
      </w:pPr>
      <w:r>
        <w:rPr>
          <w:b/>
          <w:color w:val="E7A72E"/>
          <w:sz w:val="17"/>
        </w:rPr>
        <w:t>MODEL MUNICIPAL RESOLUTION</w:t>
      </w:r>
    </w:p>
    <w:p>
      <w:pPr>
        <w:pStyle w:val="Title"/>
      </w:pPr>
      <w:r>
        <w:t>Resolution Supporting an Updated Municipal Share of Mississippi's Existing Sales Tax</w:t>
      </w:r>
    </w:p>
    <w:p>
      <w:r>
        <w:t xml:space="preserve">RESOLUTION NO. ____________</w:t>
      </w:r>
    </w:p>
    <w:p>
      <w:r>
        <w:rPr>
          <w:b/>
        </w:rPr>
        <w:t xml:space="preserve">A RESOLUTION OF THE CITY/TOWN OF ______________________, MISSISSIPPI, SUPPORTING AN UPDATED MUNICIPAL SHARE OF MISSISSIPPI'S EXISTING SALES TAX.</w:t>
      </w:r>
    </w:p>
    <w:p>
      <w:r>
        <w:t xml:space="preserve">WHEREAS, municipalities provide public safety, streets, drainage, utilities, code enforcement, parks, permitting, and other services essential to community life and commerce; and</w:t>
      </w:r>
    </w:p>
    <w:p>
      <w:r>
        <w:t xml:space="preserve">WHEREAS, the ordinary municipal sales-tax distribution has remained 18.5 percent since 1993 and returns 1.295 cents from a covered 7-cent sales dollar; and</w:t>
      </w:r>
    </w:p>
    <w:p>
      <w:r>
        <w:t xml:space="preserve">WHEREAS, that limited share places Mississippi cities at a structural disadvantage to peer cities in neighboring states, whose cities generally have direct access to local sales-tax revenue, and it limits the City's ability to provide the services our citizens expect; and</w:t>
      </w:r>
    </w:p>
    <w:p>
      <w:r>
        <w:t xml:space="preserve">WHEREAS, House Bill 898 created a State review of allocation practices, discrepancies, technology, oversight, and statutory improvements; and</w:t>
      </w:r>
    </w:p>
    <w:p>
      <w:r>
        <w:t xml:space="preserve">WHEREAS, a six-year schedule reaching a 30 percent ordinary city share of the existing 7-cent rate and a paired 42 percent share of the existing 5-cent grocery rate would increase the city amount from 1.295 cents to 2.100 cents while taxpayers pay not one penny more; and</w:t>
      </w:r>
    </w:p>
    <w:p>
      <w:r>
        <w:t xml:space="preserve">WHEREAS, every municipality would keep its existing statutory percentage, receive each scheduled increase in that share on covered sales, and gain broader lawful use of the municipal use-tax revenue it already receives;</w:t>
      </w:r>
    </w:p>
    <w:p>
      <w:r>
        <w:t xml:space="preserve">NOW, THEREFORE, BE IT RESOLVED by the governing authority of the City/Town of ______________________, Mississippi, as follows:</w:t>
      </w:r>
    </w:p>
    <w:p>
      <w:pPr>
        <w:pStyle w:val="ListNumber"/>
      </w:pPr>
      <w:r>
        <w:t xml:space="preserve">The preceding recitals are adopted as the findings of the governing authority.</w:t>
      </w:r>
    </w:p>
    <w:p>
      <w:pPr>
        <w:pStyle w:val="ListNumber"/>
      </w:pPr>
      <w:r>
        <w:t xml:space="preserve">The governing authority supports a statewide allocation-verification process covering business addresses, municipal location coding, the municipality to which each sale is assigned, corrections, reconciliations, municipal inquiries, and monthly distribution statements.</w:t>
      </w:r>
    </w:p>
    <w:p>
      <w:pPr>
        <w:pStyle w:val="ListNumber"/>
      </w:pPr>
      <w:r>
        <w:t xml:space="preserve">The governing authority supports a six-year schedule increasing the ordinary municipal share from 18.5 percent to 30.0 percent of the existing 7-cent rate, equal to an increase from 1.295 cents to 2.100 cents for the city. The taxpayer rate remains 7 cents, and the list of taxable purchases does not change.</w:t>
      </w:r>
    </w:p>
    <w:p>
      <w:pPr>
        <w:pStyle w:val="ListNumber"/>
      </w:pPr>
      <w:r>
        <w:t xml:space="preserve">The governing authority supports expanded lawful uses of municipal use-tax distributions for public safety, infrastructure, vehicles, equipment, communications, technology, related debt, and limited documented non-personnel costs of eligible assets. Salaries, wages, payroll costs, and employee benefits would remain ineligible.</w:t>
      </w:r>
    </w:p>
    <w:p>
      <w:pPr>
        <w:pStyle w:val="ListNumber"/>
      </w:pPr>
      <w:r>
        <w:t xml:space="preserve">The governing authority respectfully asks the Mississippi Legislature to enact this plan in the 2027 Regular Session.</w:t>
      </w:r>
    </w:p>
    <w:p>
      <w:pPr>
        <w:pStyle w:val="ListNumber"/>
      </w:pPr>
      <w:r>
        <w:t xml:space="preserve">This resolution is an expression of official support only. It does not encumber any funds; it creates no financial obligation, debt, or liability of any kind; it binds the City/Town to no future action; and it gives the Mississippi Municipal Revenue Partnership no authority to act for or on behalf of the City/Town.</w:t>
      </w:r>
    </w:p>
    <w:p>
      <w:pPr>
        <w:pStyle w:val="ListNumber"/>
      </w:pPr>
      <w:r>
        <w:t xml:space="preserve">The Clerk shall transmit certified copies of this resolution to the House Bill 898 Sales Tax Diversion Study Committee, the Mississippi Municipal League, the municipality's legislative delegation, the Lieutenant Governor, the Speaker of the House, and the Governor, and shall email a certified copy as a PDF to resolutions@msrevenuepartnership.org so the municipality is counted in the statewide record of support.</w:t>
      </w:r>
    </w:p>
    <w:p>
      <w:pPr>
        <w:keepNext/>
      </w:pPr>
      <w:r>
        <w:t xml:space="preserve">ADOPTED this ____ day of ______________, 20____.</w:t>
      </w:r>
    </w:p>
    <w:p>
      <w:pPr>
        <w:keepNext/>
      </w:pPr>
      <w:r>
        <w:t xml:space="preserve">____________________________ Mayor / Presiding officer</w:t>
      </w:r>
    </w:p>
    <w:p>
      <w:r>
        <w:t xml:space="preserve">ATTEST: ____________________________ Clerk</w:t>
      </w:r>
    </w:p>
    <w:p>
      <w:pPr>
        <w:pStyle w:val="Heading1"/>
      </w:pPr>
      <w:r>
        <w:t>Message discipline</w:t>
      </w:r>
    </w:p>
    <w:tbl>
      <w:tblPr>
        <w:tblW w:type="auto" w:w="0"/>
        <w:jc w:val="center"/>
        <w:tblLayout w:type="fixed"/>
        <w:tblLook w:firstColumn="1" w:firstRow="1" w:lastColumn="0" w:lastRow="0" w:noHBand="0" w:noVBand="1" w:val="04A0"/>
      </w:tblPr>
      <w:tblGrid>
        <w:gridCol w:w="5112"/>
        <w:gridCol w:w="5112"/>
      </w:tblGrid>
      <w:tr>
        <w:trPr>
          <w:tblHeader w:val="true"/>
          <w:cantSplit/>
        </w:trPr>
        <w:tc>
          <w:tcPr>
            <w:tcW w:type="dxa" w:w="4968"/>
            <w:shd w:fill="123B5D"/>
            <w:tcMar>
              <w:top w:w="75" w:type="dxa"/>
              <w:start w:w="90" w:type="dxa"/>
              <w:bottom w:w="75" w:type="dxa"/>
              <w:end w:w="90" w:type="dxa"/>
            </w:tcMar>
            <w:tcBorders>
              <w:top w:val="single" w:sz="3" w:color="FFFFFF"/>
              <w:right w:val="single" w:sz="3" w:color="FFFFFF"/>
              <w:bottom w:val="single" w:sz="3" w:color="FFFFFF"/>
              <w:left w:val="single" w:sz="3" w:color="FFFFFF"/>
            </w:tcBorders>
          </w:tcPr>
          <w:p>
            <w:pPr>
              <w:spacing w:after="0"/>
            </w:pPr>
            <w:r>
              <w:rPr>
                <w:b/>
                <w:color w:val="FFFFFF"/>
                <w:sz w:val="18"/>
              </w:rPr>
              <w:t>Say</w:t>
            </w:r>
          </w:p>
        </w:tc>
        <w:tc>
          <w:tcPr>
            <w:tcW w:type="dxa" w:w="4968"/>
            <w:shd w:fill="123B5D"/>
            <w:tcMar>
              <w:top w:w="75" w:type="dxa"/>
              <w:start w:w="90" w:type="dxa"/>
              <w:bottom w:w="75" w:type="dxa"/>
              <w:end w:w="90" w:type="dxa"/>
            </w:tcMar>
            <w:tcBorders>
              <w:top w:val="single" w:sz="3" w:color="FFFFFF"/>
              <w:right w:val="single" w:sz="3" w:color="FFFFFF"/>
              <w:bottom w:val="single" w:sz="3" w:color="FFFFFF"/>
              <w:left w:val="single" w:sz="3" w:color="FFFFFF"/>
            </w:tcBorders>
          </w:tcPr>
          <w:p>
            <w:pPr>
              <w:spacing w:after="0"/>
            </w:pPr>
            <w:r>
              <w:rPr>
                <w:b/>
                <w:color w:val="FFFFFF"/>
                <w:sz w:val="18"/>
              </w:rPr>
              <w:t>Avoid</w:t>
            </w:r>
          </w:p>
        </w:tc>
      </w:tr>
      <w:tr>
        <w:trPr>
          <w:cantSplit/>
        </w:trPr>
        <w:tc>
          <w:tcPr>
            <w:tcW w:type="dxa" w:w="4968"/>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8"/>
              </w:rPr>
              <w:t>Less than a penny for the city. Not one penny more for taxpayers.</w:t>
            </w:r>
          </w:p>
        </w:tc>
        <w:tc>
          <w:tcPr>
            <w:tcW w:type="dxa" w:w="4968"/>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8"/>
              </w:rPr>
              <w:t>Any use of 'less than a penny' without immediately explaining that taxpayers pay no additional tax</w:t>
            </w:r>
          </w:p>
        </w:tc>
      </w:tr>
      <w:tr>
        <w:trPr>
          <w:cantSplit/>
        </w:trPr>
        <w:tc>
          <w:tcPr>
            <w:tcW w:type="dxa" w:w="4968"/>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8"/>
              </w:rPr>
              <w:t>Every municipality keeps its existing statutory percentage and receives each scheduled increase in that share on covered sales</w:t>
            </w:r>
          </w:p>
        </w:tc>
        <w:tc>
          <w:tcPr>
            <w:tcW w:type="dxa" w:w="4968"/>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8"/>
              </w:rPr>
              <w:t>Framing that casts smaller municipalities as afterthoughts</w:t>
            </w:r>
          </w:p>
        </w:tc>
      </w:tr>
      <w:tr>
        <w:trPr>
          <w:cantSplit/>
        </w:trPr>
        <w:tc>
          <w:tcPr>
            <w:tcW w:type="dxa" w:w="4968"/>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8"/>
              </w:rPr>
              <w:t>Expanded MIMA flexibility for every city and town</w:t>
            </w:r>
          </w:p>
        </w:tc>
        <w:tc>
          <w:tcPr>
            <w:tcW w:type="dxa" w:w="4968"/>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8"/>
              </w:rPr>
              <w:t>Claims that MIMA revenue is generated in each city</w:t>
            </w:r>
          </w:p>
        </w:tc>
      </w:tr>
      <w:tr>
        <w:trPr>
          <w:cantSplit/>
        </w:trPr>
        <w:tc>
          <w:tcPr>
            <w:tcW w:type="dxa" w:w="4968"/>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8"/>
              </w:rPr>
              <w:t>Municipal budgets and audits are already public</w:t>
            </w:r>
          </w:p>
        </w:tc>
        <w:tc>
          <w:tcPr>
            <w:tcW w:type="dxa" w:w="4968"/>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8"/>
              </w:rPr>
              <w:t>Claims that cities are offering new transparency</w:t>
            </w:r>
          </w:p>
        </w:tc>
      </w:tr>
      <w:tr>
        <w:trPr>
          <w:cantSplit/>
        </w:trPr>
        <w:tc>
          <w:tcPr>
            <w:tcW w:type="dxa" w:w="4968"/>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8"/>
              </w:rPr>
              <w:t>Property taxes are outside this proposal</w:t>
            </w:r>
          </w:p>
        </w:tc>
        <w:tc>
          <w:tcPr>
            <w:tcW w:type="dxa" w:w="4968"/>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8"/>
              </w:rPr>
              <w:t>Suggesting any present or future property-tax action</w:t>
            </w:r>
          </w:p>
        </w:tc>
      </w:tr>
      <w:tr>
        <w:trPr>
          <w:cantSplit/>
        </w:trPr>
        <w:tc>
          <w:tcPr>
            <w:tcW w:type="dxa" w:w="4968"/>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8"/>
              </w:rPr>
              <w:t>Infrastructure programs cannot pay municipal salaries, wages, payroll costs, or recurring personnel costs</w:t>
            </w:r>
          </w:p>
        </w:tc>
        <w:tc>
          <w:tcPr>
            <w:tcW w:type="dxa" w:w="4968"/>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8"/>
              </w:rPr>
              <w:t>Treating capital grants, loans, or named projects as recurring operating revenue</w:t>
            </w:r>
          </w:p>
        </w:tc>
      </w:tr>
      <w:tr>
        <w:trPr>
          <w:cantSplit/>
        </w:trPr>
        <w:tc>
          <w:tcPr>
            <w:tcW w:type="dxa" w:w="4968"/>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8"/>
              </w:rPr>
              <w:t>Published local rates, with Gulfport's statutory city distribution labeled separately</w:t>
            </w:r>
          </w:p>
        </w:tc>
        <w:tc>
          <w:tcPr>
            <w:tcW w:type="dxa" w:w="4968"/>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8"/>
              </w:rPr>
              <w:t>Calling every neighboring figure city revenue or implying the entire amount reaches the city</w:t>
            </w:r>
          </w:p>
        </w:tc>
      </w:tr>
    </w:tbl>
    <w:p>
      <w:pPr>
        <w:spacing w:after="0"/>
      </w:pPr>
    </w:p>
    <w:p>
      <w:pPr>
        <w:pStyle w:val="Heading1"/>
      </w:pPr>
      <w:r>
        <w:t>90-day committee plan</w:t>
      </w:r>
    </w:p>
    <w:p>
      <w:pPr>
        <w:pStyle w:val="ListBullet"/>
      </w:pPr>
      <w:r>
        <w:t>Days 1-15: Confirm HB 898 members, Department of Revenue contacts, and first endorsers; prepare the contact map and data request.</w:t>
      </w:r>
    </w:p>
    <w:p>
      <w:pPr>
        <w:pStyle w:val="ListBullet"/>
      </w:pPr>
      <w:r>
        <w:t>Days 16-30: Pass resolutions and collect official city examples; assemble certified resolutions and verified examples.</w:t>
      </w:r>
    </w:p>
    <w:p>
      <w:pPr>
        <w:pStyle w:val="ListBullet"/>
      </w:pPr>
      <w:r>
        <w:t>Days 31-60: Present the verification plan, schedule, MIMA flexibility, and fiscal safeguards; request official cost estimates.</w:t>
      </w:r>
    </w:p>
    <w:p>
      <w:pPr>
        <w:pStyle w:val="ListBullet"/>
      </w:pPr>
      <w:r>
        <w:t>Days 61-90: Resolve drafting details and secure sponsors; prepare the committee recommendation and 2027 bill draft.</w:t>
      </w:r>
    </w:p>
    <w:tbl>
      <w:tblPr>
        <w:tblW w:type="auto" w:w="0"/>
        <w:jc w:val="center"/>
        <w:tblLook w:firstColumn="1" w:firstRow="1" w:lastColumn="0" w:lastRow="0" w:noHBand="0" w:noVBand="1" w:val="04A0"/>
      </w:tblPr>
      <w:tblGrid>
        <w:gridCol w:w="10224"/>
      </w:tblGrid>
      <w:tr>
        <w:trPr>
          <w:cantSplit/>
        </w:trPr>
        <w:tc>
          <w:tcPr>
            <w:tcW w:type="dxa" w:w="10224"/>
            <w:shd w:fill="EAF3F9"/>
            <w:tcBorders>
              <w:top w:val="single" w:sz="3" w:color="D7E0E7"/>
              <w:right w:val="single" w:sz="3" w:color="D7E0E7"/>
              <w:bottom w:val="single" w:sz="3" w:color="D7E0E7"/>
              <w:left w:val="single" w:sz="16" w:color="1769AA"/>
            </w:tcBorders>
            <w:tcMar>
              <w:top w:w="120" w:type="dxa"/>
              <w:start w:w="145" w:type="dxa"/>
              <w:bottom w:w="120" w:type="dxa"/>
              <w:end w:w="145" w:type="dxa"/>
            </w:tcMar>
          </w:tcPr>
          <w:p>
            <w:pPr>
              <w:spacing w:after="80"/>
            </w:pPr>
            <w:r>
              <w:rPr>
                <w:b/>
                <w:color w:val="123B5D"/>
                <w:sz w:val="23"/>
              </w:rPr>
              <w:t>Contact</w:t>
            </w:r>
          </w:p>
          <w:p>
            <w:pPr>
              <w:spacing w:after="0"/>
            </w:pPr>
            <w:r>
              <w:rPr>
                <w:color w:val="203040"/>
                <w:sz w:val="21"/>
              </w:rPr>
              <w:t>Mississippi Municipal Revenue Partnership | msrevenuepartnership.org</w:t>
            </w:r>
          </w:p>
        </w:tc>
      </w:tr>
    </w:tbl>
    <w:p>
      <w:pPr>
        <w:spacing w:after="0"/>
      </w:pPr>
    </w:p>
    <w:p>
      <w:pPr>
        <w:pStyle w:val="Heading1"/>
      </w:pPr>
      <w:r>
        <w:t>Official sources</w:t>
      </w:r>
    </w:p>
    <w:tbl>
      <w:tblPr>
        <w:tblW w:type="auto" w:w="0"/>
        <w:jc w:val="center"/>
        <w:tblLayout w:type="fixed"/>
        <w:tblLook w:firstColumn="1" w:firstRow="1" w:lastColumn="0" w:lastRow="0" w:noHBand="0" w:noVBand="1" w:val="04A0"/>
      </w:tblPr>
      <w:tblGrid>
        <w:gridCol w:w="5112"/>
        <w:gridCol w:w="5112"/>
      </w:tblGrid>
      <w:tr>
        <w:trPr>
          <w:cantSplit/>
        </w:trPr>
        <w:tc>
          <w:tcPr>
            <w:tcW w:type="dxa" w:w="4968"/>
            <w:shd w:fill="F6F9FB"/>
            <w:tcBorders>
              <w:top w:val="single" w:sz="3" w:color="D7E0E7"/>
              <w:right w:val="single" w:sz="3" w:color="D7E0E7"/>
              <w:bottom w:val="single" w:sz="3" w:color="D7E0E7"/>
              <w:left w:val="single" w:sz="3" w:color="D7E0E7"/>
            </w:tcBorders>
            <w:tcMar>
              <w:top w:w="45" w:type="dxa"/>
              <w:start w:w="65" w:type="dxa"/>
              <w:bottom w:w="45" w:type="dxa"/>
              <w:end w:w="65" w:type="dxa"/>
            </w:tcMar>
            <w:vAlign w:val="center"/>
          </w:tcPr>
          <w:p>
            <w:pPr>
              <w:spacing w:after="0"/>
            </w:pPr>
            <w:r>
              <w:rPr>
                <w:b/>
                <w:sz w:val="16"/>
              </w:rPr>
              <w:t xml:space="preserve">1. </w:t>
            </w:r>
            <w:hyperlink r:id="rId11">
              <w:r>
                <w:rPr>
                  <w:color w:val="1769AA"/>
                  <w:u w:val="single"/>
                  <w:sz w:val="16"/>
                </w:rPr>
                <w:t>Mississippi Code Section 27-65-75</w:t>
              </w:r>
            </w:hyperlink>
          </w:p>
        </w:tc>
        <w:tc>
          <w:tcPr>
            <w:tcW w:type="dxa" w:w="4968"/>
            <w:shd w:fill="F6F9FB"/>
            <w:tcBorders>
              <w:top w:val="single" w:sz="3" w:color="D7E0E7"/>
              <w:right w:val="single" w:sz="3" w:color="D7E0E7"/>
              <w:bottom w:val="single" w:sz="3" w:color="D7E0E7"/>
              <w:left w:val="single" w:sz="3" w:color="D7E0E7"/>
            </w:tcBorders>
            <w:tcMar>
              <w:top w:w="45" w:type="dxa"/>
              <w:start w:w="65" w:type="dxa"/>
              <w:bottom w:w="45" w:type="dxa"/>
              <w:end w:w="65" w:type="dxa"/>
            </w:tcMar>
            <w:vAlign w:val="center"/>
          </w:tcPr>
          <w:p>
            <w:pPr>
              <w:spacing w:after="0"/>
            </w:pPr>
            <w:r>
              <w:rPr>
                <w:b/>
                <w:sz w:val="16"/>
              </w:rPr>
              <w:t xml:space="preserve">5. </w:t>
            </w:r>
            <w:hyperlink r:id="rId15">
              <w:r>
                <w:rPr>
                  <w:color w:val="1769AA"/>
                  <w:u w:val="single"/>
                  <w:sz w:val="16"/>
                </w:rPr>
                <w:t>City of Gulf Shores, Sales Tax</w:t>
              </w:r>
            </w:hyperlink>
          </w:p>
        </w:tc>
      </w:tr>
      <w:tr>
        <w:trPr>
          <w:cantSplit/>
        </w:trPr>
        <w:tc>
          <w:tcPr>
            <w:tcW w:type="dxa" w:w="4968"/>
            <w:shd w:fill="FFFFFF"/>
            <w:tcBorders>
              <w:top w:val="single" w:sz="3" w:color="D7E0E7"/>
              <w:right w:val="single" w:sz="3" w:color="D7E0E7"/>
              <w:bottom w:val="single" w:sz="3" w:color="D7E0E7"/>
              <w:left w:val="single" w:sz="3" w:color="D7E0E7"/>
            </w:tcBorders>
            <w:tcMar>
              <w:top w:w="45" w:type="dxa"/>
              <w:start w:w="65" w:type="dxa"/>
              <w:bottom w:w="45" w:type="dxa"/>
              <w:end w:w="65" w:type="dxa"/>
            </w:tcMar>
            <w:vAlign w:val="center"/>
          </w:tcPr>
          <w:p>
            <w:pPr>
              <w:spacing w:after="0"/>
            </w:pPr>
            <w:r>
              <w:rPr>
                <w:b/>
                <w:sz w:val="16"/>
              </w:rPr>
              <w:t xml:space="preserve">2. </w:t>
            </w:r>
            <w:hyperlink r:id="rId12">
              <w:r>
                <w:rPr>
                  <w:color w:val="1769AA"/>
                  <w:u w:val="single"/>
                  <w:sz w:val="16"/>
                </w:rPr>
                <w:t>Mississippi Department of Revenue, Diversions to Cities</w:t>
              </w:r>
            </w:hyperlink>
          </w:p>
        </w:tc>
        <w:tc>
          <w:tcPr>
            <w:tcW w:type="dxa" w:w="4968"/>
            <w:shd w:fill="FFFFFF"/>
            <w:tcBorders>
              <w:top w:val="single" w:sz="3" w:color="D7E0E7"/>
              <w:right w:val="single" w:sz="3" w:color="D7E0E7"/>
              <w:bottom w:val="single" w:sz="3" w:color="D7E0E7"/>
              <w:left w:val="single" w:sz="3" w:color="D7E0E7"/>
            </w:tcBorders>
            <w:tcMar>
              <w:top w:w="45" w:type="dxa"/>
              <w:start w:w="65" w:type="dxa"/>
              <w:bottom w:w="45" w:type="dxa"/>
              <w:end w:w="65" w:type="dxa"/>
            </w:tcMar>
            <w:vAlign w:val="center"/>
          </w:tcPr>
          <w:p>
            <w:pPr>
              <w:spacing w:after="0"/>
            </w:pPr>
            <w:r>
              <w:rPr>
                <w:b/>
                <w:sz w:val="16"/>
              </w:rPr>
              <w:t xml:space="preserve">6. </w:t>
            </w:r>
            <w:hyperlink r:id="rId16">
              <w:r>
                <w:rPr>
                  <w:color w:val="1769AA"/>
                  <w:u w:val="single"/>
                  <w:sz w:val="16"/>
                </w:rPr>
                <w:t>Louisiana Association of Tax Administrators, St. Tammany Parish</w:t>
              </w:r>
            </w:hyperlink>
          </w:p>
        </w:tc>
      </w:tr>
      <w:tr>
        <w:trPr>
          <w:cantSplit/>
        </w:trPr>
        <w:tc>
          <w:tcPr>
            <w:tcW w:type="dxa" w:w="4968"/>
            <w:shd w:fill="F6F9FB"/>
            <w:tcBorders>
              <w:top w:val="single" w:sz="3" w:color="D7E0E7"/>
              <w:right w:val="single" w:sz="3" w:color="D7E0E7"/>
              <w:bottom w:val="single" w:sz="3" w:color="D7E0E7"/>
              <w:left w:val="single" w:sz="3" w:color="D7E0E7"/>
            </w:tcBorders>
            <w:tcMar>
              <w:top w:w="45" w:type="dxa"/>
              <w:start w:w="65" w:type="dxa"/>
              <w:bottom w:w="45" w:type="dxa"/>
              <w:end w:w="65" w:type="dxa"/>
            </w:tcMar>
            <w:vAlign w:val="center"/>
          </w:tcPr>
          <w:p>
            <w:pPr>
              <w:spacing w:after="0"/>
            </w:pPr>
            <w:r>
              <w:rPr>
                <w:b/>
                <w:sz w:val="16"/>
              </w:rPr>
              <w:t xml:space="preserve">3. </w:t>
            </w:r>
            <w:hyperlink r:id="rId13">
              <w:r>
                <w:rPr>
                  <w:color w:val="1769AA"/>
                  <w:u w:val="single"/>
                  <w:sz w:val="16"/>
                </w:rPr>
                <w:t>House Bill 898, 2026</w:t>
              </w:r>
            </w:hyperlink>
          </w:p>
        </w:tc>
        <w:tc>
          <w:tcPr>
            <w:tcW w:type="dxa" w:w="4968"/>
            <w:shd w:fill="F6F9FB"/>
            <w:tcBorders>
              <w:top w:val="single" w:sz="3" w:color="D7E0E7"/>
              <w:right w:val="single" w:sz="3" w:color="D7E0E7"/>
              <w:bottom w:val="single" w:sz="3" w:color="D7E0E7"/>
              <w:left w:val="single" w:sz="3" w:color="D7E0E7"/>
            </w:tcBorders>
            <w:tcMar>
              <w:top w:w="45" w:type="dxa"/>
              <w:start w:w="65" w:type="dxa"/>
              <w:bottom w:w="45" w:type="dxa"/>
              <w:end w:w="65" w:type="dxa"/>
            </w:tcMar>
            <w:vAlign w:val="center"/>
          </w:tcPr>
          <w:p>
            <w:pPr>
              <w:spacing w:after="0"/>
            </w:pPr>
            <w:r>
              <w:rPr>
                <w:b/>
                <w:sz w:val="16"/>
              </w:rPr>
              <w:t xml:space="preserve">7. </w:t>
            </w:r>
            <w:hyperlink r:id="rId17">
              <w:r>
                <w:rPr>
                  <w:color w:val="1769AA"/>
                  <w:u w:val="single"/>
                  <w:sz w:val="16"/>
                </w:rPr>
                <w:t>Mississippi Infrastructure Modernization Act</w:t>
              </w:r>
            </w:hyperlink>
          </w:p>
        </w:tc>
      </w:tr>
      <w:tr>
        <w:trPr>
          <w:cantSplit/>
        </w:trPr>
        <w:tc>
          <w:tcPr>
            <w:tcW w:type="dxa" w:w="4968"/>
            <w:shd w:fill="FFFFFF"/>
            <w:tcBorders>
              <w:top w:val="single" w:sz="3" w:color="D7E0E7"/>
              <w:right w:val="single" w:sz="3" w:color="D7E0E7"/>
              <w:bottom w:val="single" w:sz="3" w:color="D7E0E7"/>
              <w:left w:val="single" w:sz="3" w:color="D7E0E7"/>
            </w:tcBorders>
            <w:tcMar>
              <w:top w:w="45" w:type="dxa"/>
              <w:start w:w="65" w:type="dxa"/>
              <w:bottom w:w="45" w:type="dxa"/>
              <w:end w:w="65" w:type="dxa"/>
            </w:tcMar>
            <w:vAlign w:val="center"/>
          </w:tcPr>
          <w:p>
            <w:pPr>
              <w:spacing w:after="0"/>
            </w:pPr>
            <w:r>
              <w:rPr>
                <w:b/>
                <w:sz w:val="16"/>
              </w:rPr>
              <w:t xml:space="preserve">4. </w:t>
            </w:r>
            <w:hyperlink r:id="rId14">
              <w:r>
                <w:rPr>
                  <w:color w:val="1769AA"/>
                  <w:u w:val="single"/>
                  <w:sz w:val="16"/>
                </w:rPr>
                <w:t>Alabama Department of Revenue, Sales and Use Tax Rates</w:t>
              </w:r>
            </w:hyperlink>
          </w:p>
        </w:tc>
        <w:tc>
          <w:tcPr>
            <w:tcW w:type="dxa" w:w="4968"/>
            <w:shd w:fill="FFFFFF"/>
            <w:tcBorders>
              <w:top w:val="single" w:sz="3" w:color="D7E0E7"/>
              <w:right w:val="single" w:sz="3" w:color="D7E0E7"/>
              <w:bottom w:val="single" w:sz="3" w:color="D7E0E7"/>
              <w:left w:val="single" w:sz="3" w:color="D7E0E7"/>
            </w:tcBorders>
            <w:tcMar>
              <w:top w:w="45" w:type="dxa"/>
              <w:start w:w="65" w:type="dxa"/>
              <w:bottom w:w="45" w:type="dxa"/>
              <w:end w:w="65" w:type="dxa"/>
            </w:tcMar>
            <w:vAlign w:val="center"/>
          </w:tcPr>
          <w:p>
            <w:pPr>
              <w:spacing w:after="0"/>
            </w:pPr>
            <w:r>
              <w:rPr>
                <w:b/>
                <w:sz w:val="16"/>
              </w:rPr>
              <w:t xml:space="preserve">8. </w:t>
            </w:r>
            <w:hyperlink r:id="rId18">
              <w:r>
                <w:rPr>
                  <w:color w:val="1769AA"/>
                  <w:u w:val="single"/>
                  <w:sz w:val="16"/>
                </w:rPr>
                <w:t>House Bill 1386, 2026</w:t>
              </w:r>
            </w:hyperlink>
          </w:p>
        </w:tc>
      </w:tr>
    </w:tbl>
    <w:sectPr w:rsidR="00FC693F" w:rsidRPr="0006063C" w:rsidSect="00034616">
      <w:headerReference w:type="default" r:id="rId9"/>
      <w:footerReference w:type="default" r:id="rId10"/>
      <w:pgSz w:w="12240" w:h="15840"/>
      <w:pgMar w:top="893" w:right="1008" w:bottom="835" w:left="1008" w:header="346" w:footer="34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color w:val="526574"/>
        <w:sz w:val="17"/>
      </w:rPr>
      <w:t xml:space="preserve">V1.1 | August 16, 2026 | Page </w:t>
    </w:r>
    <w:r>
      <w:rPr>
        <w:color w:val="526574"/>
        <w:sz w:val="17"/>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Bdr>
        <w:bottom w:val="single" w:sz="8" w:space="3" w:color="E7A72E"/>
      </w:pBdr>
    </w:pPr>
    <w:r>
      <w:rPr>
        <w:rFonts w:ascii="Aptos" w:hAnsi="Aptos"/>
        <w:b/>
        <w:color w:val="123B5D"/>
        <w:sz w:val="16"/>
      </w:rPr>
      <w:t>MISSISSIPPI MUNICIPAL REVENUE PARTNERSHIP | MUNICIPAL SUPPORT PACKET | V1.1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20304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ptos Display" w:hAnsi="Aptos Display"/>
      <w:b/>
      <w:bCs/>
      <w:color w:val="1769AA"/>
      <w:sz w:val="32"/>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ptos Display" w:hAnsi="Aptos Display"/>
      <w:b/>
      <w:bCs/>
      <w:color w:val="123B5D"/>
      <w:sz w:val="25"/>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Aptos Display" w:hAnsi="Aptos Display"/>
      <w:b/>
      <w:bCs/>
      <w:color w:val="52657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Aptos Display" w:hAnsi="Aptos Display"/>
      <w:b/>
      <w:color w:val="123B5D"/>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Display" w:hAnsi="Aptos Display"/>
      <w:b w:val="0"/>
      <w:i/>
      <w:iCs/>
      <w:color w:val="526574"/>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ind w:left="389" w:hanging="259"/>
      <w:contextualSpacing/>
    </w:pPr>
    <w:rPr>
      <w:rFonts w:ascii="Aptos" w:hAnsi="Aptos"/>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ind w:left="389" w:hanging="259"/>
      <w:contextualSpacing/>
    </w:pPr>
    <w:rPr>
      <w:rFonts w:ascii="Aptos" w:hAnsi="Aptos"/>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lexisnexis.com/hottopics/mscode/" TargetMode="External"/><Relationship Id="rId12" Type="http://schemas.openxmlformats.org/officeDocument/2006/relationships/hyperlink" Target="https://www.dor.ms.gov/forms-resources/statistics-publications/diversions-cities-sales-tax-collections" TargetMode="External"/><Relationship Id="rId13" Type="http://schemas.openxmlformats.org/officeDocument/2006/relationships/hyperlink" Target="https://billstatus.ls.state.ms.us/documents/2026/pdf/HB/0800-0899/HB0898SG.pdf" TargetMode="External"/><Relationship Id="rId14" Type="http://schemas.openxmlformats.org/officeDocument/2006/relationships/hyperlink" Target="https://www.revenue.alabama.gov/sales-use/tax-rates/" TargetMode="External"/><Relationship Id="rId15" Type="http://schemas.openxmlformats.org/officeDocument/2006/relationships/hyperlink" Target="https://www.gulfshoresal.gov/782/Sales-Tax" TargetMode="External"/><Relationship Id="rId16" Type="http://schemas.openxmlformats.org/officeDocument/2006/relationships/hyperlink" Target="https://lataonline.org/for-taxpayers/city-to-parish-index/st-tammany/" TargetMode="External"/><Relationship Id="rId17" Type="http://schemas.openxmlformats.org/officeDocument/2006/relationships/hyperlink" Target="https://billstatus.ls.state.ms.us/documents/20181E/pdf/HB/0001-0099/HB0001SG.pdf" TargetMode="External"/><Relationship Id="rId18" Type="http://schemas.openxmlformats.org/officeDocument/2006/relationships/hyperlink" Target="https://billstatus.ls.state.ms.us/documents/2026/html/HB/1300-1399/HB1386SG.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Mississippi Municipal Revenue Partnership Support Packet</dc:title>
  <dc:subject>Mississippi municipal revenue modernization</dc:subject>
  <dc:creator>Mississippi Municipal Revenue Partnership</dc:creator>
  <cp:keywords>Mississippi, municipalities, sales tax, HB 898, municipal revenue</cp:keywords>
  <dc:description>generated by python-docx</dc:description>
  <cp:lastModifiedBy/>
  <cp:revision>1</cp:revision>
  <dcterms:created xsi:type="dcterms:W3CDTF">2013-12-23T23:15:00Z</dcterms:created>
  <dcterms:modified xsi:type="dcterms:W3CDTF">2013-12-23T23:15:00Z</dcterms:modified>
  <cp:category/>
</cp:coreProperties>
</file>